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F" w:rsidRPr="00CF60E0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596BA8" w:rsidRPr="00CF60E0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постійно</w:t>
      </w:r>
      <w:r w:rsidR="00160F5E">
        <w:rPr>
          <w:rFonts w:ascii="Times New Roman" w:hAnsi="Times New Roman" w:cs="Times New Roman"/>
          <w:b/>
          <w:sz w:val="28"/>
          <w:szCs w:val="28"/>
        </w:rPr>
        <w:t>ї депутатської комісії Мохнатинської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596BA8" w:rsidRPr="00CF60E0" w:rsidRDefault="0012117B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питань бюджету</w:t>
      </w:r>
      <w:r w:rsidR="00596BA8" w:rsidRPr="00CF60E0">
        <w:rPr>
          <w:rFonts w:ascii="Times New Roman" w:hAnsi="Times New Roman" w:cs="Times New Roman"/>
          <w:b/>
          <w:sz w:val="28"/>
          <w:szCs w:val="28"/>
        </w:rPr>
        <w:t xml:space="preserve"> та соціально-економічного розвитку села</w:t>
      </w:r>
    </w:p>
    <w:p w:rsidR="00D24296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щодо регуляторного впливу </w:t>
      </w:r>
    </w:p>
    <w:p w:rsidR="00D24296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проекту регуляторного акта –</w:t>
      </w:r>
      <w:r w:rsidR="00D2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5E">
        <w:rPr>
          <w:rFonts w:ascii="Times New Roman" w:hAnsi="Times New Roman" w:cs="Times New Roman"/>
          <w:b/>
          <w:sz w:val="28"/>
          <w:szCs w:val="28"/>
        </w:rPr>
        <w:t>рішення Мохнатинської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  сільської ради </w:t>
      </w:r>
    </w:p>
    <w:p w:rsidR="00596BA8" w:rsidRPr="00CF60E0" w:rsidRDefault="00596BA8" w:rsidP="00596BA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встановлення мі</w:t>
      </w:r>
      <w:r w:rsidR="003859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сцевих податків і зборів на 2020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596BA8" w:rsidRPr="00CF60E0" w:rsidRDefault="00596BA8" w:rsidP="00596BA8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FF" w:rsidRPr="00CF60E0" w:rsidRDefault="000B26FF" w:rsidP="000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CF60E0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="00160F5E">
        <w:rPr>
          <w:rFonts w:ascii="Times New Roman" w:hAnsi="Times New Roman" w:cs="Times New Roman"/>
          <w:sz w:val="28"/>
          <w:szCs w:val="28"/>
        </w:rPr>
        <w:t>комісія Мохнатинської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CF60E0">
        <w:rPr>
          <w:rFonts w:ascii="Times New Roman" w:hAnsi="Times New Roman"/>
          <w:sz w:val="28"/>
          <w:szCs w:val="28"/>
        </w:rPr>
        <w:t xml:space="preserve">з питань бюджету та соціально-економічного розвитку села,  </w:t>
      </w:r>
      <w:r w:rsidRPr="00CF60E0">
        <w:rPr>
          <w:rFonts w:ascii="Times New Roman" w:hAnsi="Times New Roman" w:cs="Times New Roman"/>
          <w:sz w:val="28"/>
          <w:szCs w:val="28"/>
        </w:rPr>
        <w:t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</w:t>
      </w:r>
      <w:r w:rsidR="00160F5E">
        <w:rPr>
          <w:rFonts w:ascii="Times New Roman" w:hAnsi="Times New Roman" w:cs="Times New Roman"/>
          <w:sz w:val="28"/>
          <w:szCs w:val="28"/>
        </w:rPr>
        <w:t>глянула проект рішення Мохнатинської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</w:t>
      </w:r>
      <w:r w:rsidR="00385924">
        <w:rPr>
          <w:rFonts w:ascii="Times New Roman" w:hAnsi="Times New Roman" w:cs="Times New Roman"/>
          <w:sz w:val="28"/>
          <w:szCs w:val="28"/>
        </w:rPr>
        <w:t xml:space="preserve"> місцеві податки і збори на 2020</w:t>
      </w:r>
      <w:r w:rsidRPr="00CF60E0">
        <w:rPr>
          <w:rFonts w:ascii="Times New Roman" w:hAnsi="Times New Roman" w:cs="Times New Roman"/>
          <w:sz w:val="28"/>
          <w:szCs w:val="28"/>
        </w:rPr>
        <w:t xml:space="preserve"> рік» та встановила наступне.</w:t>
      </w:r>
    </w:p>
    <w:p w:rsidR="000B26FF" w:rsidRPr="00CF60E0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Розробником регуляторного акт</w:t>
      </w:r>
      <w:r w:rsidR="00160F5E">
        <w:rPr>
          <w:rFonts w:ascii="Times New Roman" w:hAnsi="Times New Roman" w:cs="Times New Roman"/>
          <w:sz w:val="28"/>
          <w:szCs w:val="28"/>
        </w:rPr>
        <w:t>а є виконавчий комітет Мохнатинської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CF60E0" w:rsidRDefault="000B26FF" w:rsidP="00D45459">
      <w:pPr>
        <w:pStyle w:val="a5"/>
        <w:numPr>
          <w:ilvl w:val="0"/>
          <w:numId w:val="1"/>
        </w:numPr>
        <w:spacing w:after="0" w:line="285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Проект регуля</w:t>
      </w:r>
      <w:r w:rsidR="00160F5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торного акта – рішення Мохнатинської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сільської ради</w:t>
      </w:r>
      <w:r w:rsidR="00E61521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«Про</w:t>
      </w:r>
      <w:r w:rsidR="00D677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встановлення </w:t>
      </w:r>
      <w:r w:rsidR="00001710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місцевих податків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001710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</w:t>
      </w:r>
      <w:r w:rsidR="0038592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зборів на 2020</w:t>
      </w:r>
      <w:r w:rsidR="006236E4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рік»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зокрема:</w:t>
      </w: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CF60E0" w:rsidRDefault="000B26FF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CF60E0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земельного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податку, на території Мохнатинської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ради, що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села та запровадження яких відповідає вимо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врядування та мешканців с.Мохнатин,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Юр</w:t>
            </w:r>
            <w:r w:rsidR="00160F5E">
              <w:rPr>
                <w:rFonts w:ascii="Calibri" w:eastAsia="Times New Roman" w:hAnsi="Calibri" w:cs="Times New Roman"/>
                <w:sz w:val="28"/>
                <w:szCs w:val="28"/>
                <w:lang w:eastAsia="uk-UA"/>
              </w:rPr>
              <w:t>'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ївка.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16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розробки проекту регуляторного акта, який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забезпечує баланс інтересів юридичних, фіз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ичних осіб, громадян та держави: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села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сільській раді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розвиток території сільської ради.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CF60E0" w:rsidRDefault="00A3264B" w:rsidP="00476224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 та своєчасного внесення змін до плану регуляторної діяльності сільської ради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внесення до нього проекту регуляторного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60F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рішення Мохнатинської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 та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несення проекту регуляторного акта – рішення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сільської ради</w:t>
            </w:r>
            <w:r w:rsidR="00CF60E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Про</w:t>
            </w:r>
            <w:r w:rsidR="00CF60E0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встановлення місцевих</w:t>
            </w:r>
            <w:r w:rsidR="004762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одатків і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зборів</w:t>
            </w:r>
            <w:r w:rsidR="00CF60E0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на 2019 рік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».</w:t>
            </w:r>
          </w:p>
        </w:tc>
      </w:tr>
      <w:tr w:rsidR="006236E4" w:rsidRPr="00CF60E0" w:rsidTr="00CF60E0">
        <w:trPr>
          <w:trHeight w:val="3941"/>
        </w:trPr>
        <w:tc>
          <w:tcPr>
            <w:tcW w:w="2694" w:type="dxa"/>
          </w:tcPr>
          <w:p w:rsidR="006236E4" w:rsidRPr="00CF60E0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CF60E0" w:rsidRDefault="006236E4" w:rsidP="00476224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60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160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Мохнатинської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ради, як регуляторного органу, на всіх етапах його регуляторної діяльності, обо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встановленому законом порядку фізичними та юридичними особами, їх об'єднаннями, обов'язковість і св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оєчасність доведення прийнятих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регуляторних актів до відома фіз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ичних та юридичних осіб, їх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об'єднань, інформування громадськос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CF60E0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CF60E0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CF60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160F5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Мохнатинської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C72EC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 встановлення міс</w:t>
      </w:r>
      <w:r w:rsidR="0038592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цевих податків  і зборів на 2020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рік»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lastRenderedPageBreak/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акта,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CF60E0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CF60E0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3.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CF60E0" w:rsidRDefault="006C3058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Проаналізувавши проект регуляторного акта, Постійна комісія сільської ради вважає, що проект регуляторного</w:t>
      </w:r>
      <w:r w:rsidR="00160F5E">
        <w:rPr>
          <w:rFonts w:ascii="Times New Roman" w:hAnsi="Times New Roman" w:cs="Times New Roman"/>
          <w:sz w:val="28"/>
          <w:szCs w:val="28"/>
        </w:rPr>
        <w:t xml:space="preserve"> акта – проект рішення Мохнатинської</w:t>
      </w:r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 </w:t>
      </w:r>
      <w:r w:rsidR="00385924">
        <w:rPr>
          <w:rFonts w:ascii="Times New Roman" w:hAnsi="Times New Roman" w:cs="Times New Roman"/>
          <w:sz w:val="28"/>
          <w:szCs w:val="28"/>
        </w:rPr>
        <w:t>місцеві  податки і збори на 2020</w:t>
      </w:r>
      <w:r w:rsidRPr="00CF60E0">
        <w:rPr>
          <w:rFonts w:ascii="Times New Roman" w:hAnsi="Times New Roman" w:cs="Times New Roman"/>
          <w:sz w:val="28"/>
          <w:szCs w:val="28"/>
        </w:rPr>
        <w:t xml:space="preserve"> рік»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58" w:rsidRPr="00CF60E0" w:rsidRDefault="009B3DB3" w:rsidP="009B3DB3">
      <w:pPr>
        <w:shd w:val="clear" w:color="auto" w:fill="FFFFFF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Вказаний проект регуляторного акта 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реалізація в дію якого надасть можливість:</w:t>
      </w:r>
    </w:p>
    <w:p w:rsidR="006C3058" w:rsidRPr="00D677F6" w:rsidRDefault="00160F5E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Мохнатинської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податків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зборів  на території Мохнатинської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сільської ради, створення позитивного іміджу влади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інтересів Мохнатинської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громади;</w:t>
      </w:r>
    </w:p>
    <w:p w:rsidR="006C3058" w:rsidRPr="00D677F6" w:rsidRDefault="006C3058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органів державної 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та платників податків і зборів – застосовування у роботі нормативних актів сільської ради з питань оподаткування, які відповідають вимогам чинного законодавства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CF60E0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160F5E" w:rsidRPr="00CF60E0" w:rsidRDefault="00160F5E" w:rsidP="00160F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Мохнатинської</w:t>
      </w:r>
      <w:r w:rsidR="006236E4"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  <w:r w:rsidR="006236E4" w:rsidRPr="00CF60E0">
        <w:rPr>
          <w:rFonts w:ascii="Times New Roman" w:hAnsi="Times New Roman"/>
          <w:b/>
          <w:sz w:val="28"/>
          <w:szCs w:val="28"/>
        </w:rPr>
        <w:t>з питань бюджету</w:t>
      </w:r>
    </w:p>
    <w:p w:rsidR="00160F5E" w:rsidRPr="00160F5E" w:rsidRDefault="006236E4" w:rsidP="00160F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F60E0">
        <w:rPr>
          <w:rFonts w:ascii="Times New Roman" w:hAnsi="Times New Roman"/>
          <w:b/>
          <w:sz w:val="28"/>
          <w:szCs w:val="28"/>
        </w:rPr>
        <w:t xml:space="preserve"> та соціально-економічного розвитку села</w:t>
      </w:r>
      <w:r w:rsidR="00160F5E">
        <w:rPr>
          <w:rFonts w:ascii="Times New Roman" w:hAnsi="Times New Roman"/>
          <w:b/>
          <w:sz w:val="28"/>
          <w:szCs w:val="28"/>
        </w:rPr>
        <w:t xml:space="preserve">                         Навозенко Л.Є.</w:t>
      </w:r>
    </w:p>
    <w:p w:rsidR="001D5C49" w:rsidRPr="00CF60E0" w:rsidRDefault="006236E4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sectPr w:rsidR="001D5C49" w:rsidRPr="00CF60E0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B2" w:rsidRDefault="00B748B2" w:rsidP="00E64711">
      <w:pPr>
        <w:spacing w:after="0" w:line="240" w:lineRule="auto"/>
      </w:pPr>
      <w:r>
        <w:separator/>
      </w:r>
    </w:p>
  </w:endnote>
  <w:endnote w:type="continuationSeparator" w:id="0">
    <w:p w:rsidR="00B748B2" w:rsidRDefault="00B748B2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B2" w:rsidRDefault="00B748B2" w:rsidP="00E64711">
      <w:pPr>
        <w:spacing w:after="0" w:line="240" w:lineRule="auto"/>
      </w:pPr>
      <w:r>
        <w:separator/>
      </w:r>
    </w:p>
  </w:footnote>
  <w:footnote w:type="continuationSeparator" w:id="0">
    <w:p w:rsidR="00B748B2" w:rsidRDefault="00B748B2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Content>
      <w:p w:rsidR="00E64711" w:rsidRDefault="00B74179">
        <w:pPr>
          <w:pStyle w:val="a6"/>
          <w:jc w:val="center"/>
        </w:pPr>
        <w:fldSimple w:instr=" PAGE   \* MERGEFORMAT ">
          <w:r w:rsidR="00385924">
            <w:rPr>
              <w:noProof/>
            </w:rPr>
            <w:t>4</w:t>
          </w:r>
        </w:fldSimple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FF"/>
    <w:rsid w:val="00001710"/>
    <w:rsid w:val="000B26FF"/>
    <w:rsid w:val="0012117B"/>
    <w:rsid w:val="00160F5E"/>
    <w:rsid w:val="001C72EC"/>
    <w:rsid w:val="001D5C49"/>
    <w:rsid w:val="001F351F"/>
    <w:rsid w:val="00230FCF"/>
    <w:rsid w:val="00283F01"/>
    <w:rsid w:val="00375E88"/>
    <w:rsid w:val="00385924"/>
    <w:rsid w:val="00476224"/>
    <w:rsid w:val="004B7D86"/>
    <w:rsid w:val="004D4A92"/>
    <w:rsid w:val="00596BA8"/>
    <w:rsid w:val="006236E4"/>
    <w:rsid w:val="00627C81"/>
    <w:rsid w:val="00645025"/>
    <w:rsid w:val="006C3058"/>
    <w:rsid w:val="0076694E"/>
    <w:rsid w:val="007A1E92"/>
    <w:rsid w:val="0088027F"/>
    <w:rsid w:val="009B3DB3"/>
    <w:rsid w:val="009F4C38"/>
    <w:rsid w:val="00A00090"/>
    <w:rsid w:val="00A3264B"/>
    <w:rsid w:val="00B74179"/>
    <w:rsid w:val="00B748B2"/>
    <w:rsid w:val="00BD35D1"/>
    <w:rsid w:val="00C52977"/>
    <w:rsid w:val="00CF60E0"/>
    <w:rsid w:val="00D24296"/>
    <w:rsid w:val="00D45459"/>
    <w:rsid w:val="00D57C7A"/>
    <w:rsid w:val="00D677F6"/>
    <w:rsid w:val="00E61521"/>
    <w:rsid w:val="00E64711"/>
    <w:rsid w:val="00F132FC"/>
    <w:rsid w:val="00F2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6BCF-D77A-4E75-91C6-9D9C5845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2019-05-29T13:37:00Z</cp:lastPrinted>
  <dcterms:created xsi:type="dcterms:W3CDTF">2019-05-29T13:37:00Z</dcterms:created>
  <dcterms:modified xsi:type="dcterms:W3CDTF">2019-05-29T13:37:00Z</dcterms:modified>
</cp:coreProperties>
</file>